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92BE" w14:textId="77777777" w:rsidR="006C7815" w:rsidRPr="001E245C" w:rsidRDefault="006C7815" w:rsidP="009C4704">
      <w:pPr>
        <w:pStyle w:val="Title"/>
        <w:rPr>
          <w:rFonts w:eastAsia="Times New Roman"/>
        </w:rPr>
      </w:pPr>
      <w:bookmarkStart w:id="0" w:name="_GoBack"/>
      <w:bookmarkEnd w:id="0"/>
      <w:r w:rsidRPr="001E245C">
        <w:rPr>
          <w:rFonts w:eastAsia="Times New Roman"/>
        </w:rPr>
        <w:t>Tribal Community and Clinical Linkages</w:t>
      </w:r>
    </w:p>
    <w:p w14:paraId="5B326627" w14:textId="77777777" w:rsidR="009C4704" w:rsidRDefault="009C4704" w:rsidP="00FA0B73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5CBEC" w14:textId="77777777" w:rsidR="00104BEE" w:rsidRPr="0095533B" w:rsidRDefault="00320A67" w:rsidP="00104BE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3"/>
          <w:szCs w:val="23"/>
        </w:rPr>
        <w:t>The primary goal of</w:t>
      </w:r>
      <w:r w:rsidR="00104BEE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health organization</w:t>
      </w:r>
      <w:r>
        <w:rPr>
          <w:rFonts w:ascii="Times New Roman" w:eastAsia="Times New Roman" w:hAnsi="Times New Roman" w:cs="Times New Roman"/>
          <w:kern w:val="36"/>
          <w:sz w:val="23"/>
          <w:szCs w:val="23"/>
        </w:rPr>
        <w:t>s</w:t>
      </w:r>
      <w:r w:rsidR="00104BEE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is to increase the health and wellbeing of their community. Accomplishing this goal becomes easier when health care providers, community organizations, and the community are connected.</w:t>
      </w:r>
      <w:r w:rsidR="001C5F4E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104BEE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This is why Tribal organizations like National Native Network and California Rural Indian Health Board inspire to increase community and clinical linkages between Tribes and Tribal </w:t>
      </w:r>
      <w:r>
        <w:rPr>
          <w:rFonts w:ascii="Times New Roman" w:eastAsia="Times New Roman" w:hAnsi="Times New Roman" w:cs="Times New Roman"/>
          <w:kern w:val="36"/>
          <w:sz w:val="23"/>
          <w:szCs w:val="23"/>
        </w:rPr>
        <w:t>health c</w:t>
      </w:r>
      <w:r w:rsidR="00104BEE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linics.  </w:t>
      </w:r>
    </w:p>
    <w:p w14:paraId="22ECE9D6" w14:textId="77777777" w:rsidR="00104BEE" w:rsidRDefault="00104BEE" w:rsidP="00FA0B73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5D38D0E" w14:textId="77777777" w:rsidR="0095533B" w:rsidRPr="0095533B" w:rsidRDefault="00FA0B73" w:rsidP="00FA0B73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4C9F">
        <w:rPr>
          <w:rFonts w:ascii="Times New Roman" w:eastAsia="Times New Roman" w:hAnsi="Times New Roman" w:cs="Times New Roman"/>
          <w:b/>
          <w:noProof/>
          <w:kern w:val="36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437D1E9" wp14:editId="4C7CB3E1">
            <wp:simplePos x="0" y="0"/>
            <wp:positionH relativeFrom="margin">
              <wp:posOffset>3935454</wp:posOffset>
            </wp:positionH>
            <wp:positionV relativeFrom="paragraph">
              <wp:posOffset>10077</wp:posOffset>
            </wp:positionV>
            <wp:extent cx="2040255" cy="2071370"/>
            <wp:effectExtent l="76200" t="0" r="6794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15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>Connections between patie</w:t>
      </w:r>
      <w:r w:rsidR="006A5068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>nts, families, caregivers, T</w:t>
      </w:r>
      <w:r w:rsidR="006C7815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>ribal health care providers, health care systems, public health organizations, and other community resources are know</w:t>
      </w:r>
      <w:r w:rsidR="008A382D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6C7815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as Tribal community and clinical linkages.</w:t>
      </w:r>
      <w:r w:rsidR="002D65E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553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Providing quality healthcare </w:t>
      </w:r>
      <w:r w:rsidR="0095533B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requires a diverse team </w:t>
      </w:r>
      <w:r w:rsidR="009553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of health professionals </w:t>
      </w:r>
      <w:r w:rsidR="0095533B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>with a mission to coordinate services that increase access</w:t>
      </w:r>
      <w:r w:rsidR="009553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community wellness programs and </w:t>
      </w:r>
      <w:r w:rsidR="0095533B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>preventive services</w:t>
      </w:r>
      <w:r w:rsidR="009553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FE787C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Bringing together a multitude of stakeholders and </w:t>
      </w:r>
      <w:r w:rsidR="00E44FAB">
        <w:rPr>
          <w:rFonts w:ascii="Times New Roman" w:eastAsia="Times New Roman" w:hAnsi="Times New Roman" w:cs="Times New Roman"/>
          <w:kern w:val="36"/>
          <w:sz w:val="23"/>
          <w:szCs w:val="23"/>
        </w:rPr>
        <w:t>different</w:t>
      </w:r>
      <w:r w:rsidR="00FE787C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perspectives allows </w:t>
      </w:r>
      <w:r w:rsidR="008A382D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the </w:t>
      </w:r>
      <w:r w:rsidR="00FE787C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community to have access to multiple ways of addressing health issues and finding healing. It is crucial that </w:t>
      </w:r>
      <w:r w:rsidR="008A382D">
        <w:rPr>
          <w:rFonts w:ascii="Times New Roman" w:eastAsia="Times New Roman" w:hAnsi="Times New Roman" w:cs="Times New Roman"/>
          <w:kern w:val="36"/>
          <w:sz w:val="23"/>
          <w:szCs w:val="23"/>
        </w:rPr>
        <w:t>Tribal</w:t>
      </w:r>
      <w:r w:rsidR="00FE787C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clinic</w:t>
      </w:r>
      <w:r w:rsidR="008A382D">
        <w:rPr>
          <w:rFonts w:ascii="Times New Roman" w:eastAsia="Times New Roman" w:hAnsi="Times New Roman" w:cs="Times New Roman"/>
          <w:kern w:val="36"/>
          <w:sz w:val="23"/>
          <w:szCs w:val="23"/>
        </w:rPr>
        <w:t>s</w:t>
      </w:r>
      <w:r w:rsidR="00FE787C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incorporate </w:t>
      </w:r>
      <w:r w:rsidR="00FE787C">
        <w:rPr>
          <w:rFonts w:ascii="Times New Roman" w:hAnsi="Times New Roman" w:cs="Times New Roman"/>
          <w:sz w:val="24"/>
          <w:szCs w:val="24"/>
        </w:rPr>
        <w:t>traditional practices and wisdom to their wellness programs or collaborate with other community organizations that offer such services.</w:t>
      </w:r>
    </w:p>
    <w:p w14:paraId="4FD75BE1" w14:textId="77777777" w:rsidR="008A382D" w:rsidRDefault="00FE787C" w:rsidP="00FA0B7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CA214" w14:textId="77777777" w:rsidR="008A382D" w:rsidRDefault="00FE787C" w:rsidP="009C4704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Community and clinical linkages </w:t>
      </w:r>
      <w:r w:rsidR="00104B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increase access to </w:t>
      </w:r>
      <w:r w:rsidR="00C911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valuable </w:t>
      </w:r>
      <w:r w:rsidR="00104B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resources </w:t>
      </w:r>
      <w:r w:rsidR="00C911AA">
        <w:rPr>
          <w:rFonts w:ascii="Times New Roman" w:eastAsia="Times New Roman" w:hAnsi="Times New Roman" w:cs="Times New Roman"/>
          <w:color w:val="000000"/>
          <w:sz w:val="23"/>
          <w:szCs w:val="23"/>
        </w:rPr>
        <w:t>which</w:t>
      </w:r>
      <w:r w:rsidR="00104B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C7815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>enhance</w:t>
      </w:r>
      <w:r w:rsidR="00C911AA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6C7815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lives of all members of the community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 lead</w:t>
      </w:r>
      <w:r w:rsidR="00C911AA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patient</w:t>
      </w:r>
      <w:r w:rsidR="006A5068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>s receiving</w:t>
      </w:r>
      <w:r w:rsidR="006C7815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holistic health</w:t>
      </w:r>
      <w:r w:rsidR="009553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care. </w:t>
      </w:r>
      <w:r w:rsidR="003331A2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One remarkable example of </w:t>
      </w:r>
      <w:r w:rsidR="007B0CF6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3331A2" w:rsidRPr="00A54C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Tribal 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c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ommunity and 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c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linical 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l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inkages is Greenville Rancheria 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Tribal Health Program</w:t>
      </w:r>
      <w:r w:rsidR="007B0CF6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(GRTHP)</w:t>
      </w:r>
      <w:r w:rsidR="002D65E6">
        <w:rPr>
          <w:rFonts w:ascii="Times New Roman" w:eastAsia="Times New Roman" w:hAnsi="Times New Roman" w:cs="Times New Roman"/>
          <w:kern w:val="36"/>
          <w:sz w:val="23"/>
          <w:szCs w:val="23"/>
        </w:rPr>
        <w:t>.</w:t>
      </w:r>
      <w:r w:rsidR="008A382D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7B0CF6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GRTHP’s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p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hysicians,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dentis</w:t>
      </w:r>
      <w:r w:rsidR="007B0CF6">
        <w:rPr>
          <w:rFonts w:ascii="Times New Roman" w:eastAsia="Times New Roman" w:hAnsi="Times New Roman" w:cs="Times New Roman"/>
          <w:kern w:val="36"/>
          <w:sz w:val="23"/>
          <w:szCs w:val="23"/>
        </w:rPr>
        <w:t>ts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, nurses, c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ommunity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h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ealth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r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epresentatives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(CHR)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, and other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c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linicians work </w:t>
      </w:r>
      <w:r w:rsidR="008E7357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together 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as a team to better the lives of their community. 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I experienced this cohesiveness firsthand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during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multiple encounters with their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staff, 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clinicians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, and</w:t>
      </w:r>
      <w:r w:rsidR="008B1B2D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their executive director. One aspect that stood out the most at </w:t>
      </w:r>
      <w:r w:rsidR="008E7357">
        <w:rPr>
          <w:rFonts w:ascii="Times New Roman" w:eastAsia="Times New Roman" w:hAnsi="Times New Roman" w:cs="Times New Roman"/>
          <w:kern w:val="36"/>
          <w:sz w:val="23"/>
          <w:szCs w:val="23"/>
        </w:rPr>
        <w:t>GRTHP</w:t>
      </w:r>
      <w:r w:rsidR="008E7357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was </w:t>
      </w:r>
      <w:r w:rsidR="008E7357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the </w:t>
      </w:r>
      <w:r w:rsidR="00465B5A">
        <w:rPr>
          <w:rFonts w:ascii="Times New Roman" w:eastAsia="Times New Roman" w:hAnsi="Times New Roman" w:cs="Times New Roman"/>
          <w:kern w:val="36"/>
          <w:sz w:val="23"/>
          <w:szCs w:val="23"/>
        </w:rPr>
        <w:t>integration</w:t>
      </w:r>
      <w:r w:rsidR="008E7357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between different departments. 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After assessing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a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patient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, clinician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s 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make a direct referral to 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their 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wellness programs such as 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the 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Second Wind Smoking Cessation, Living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W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ell, Diabetes Talking Circle, Chronic Disease Self-Management, CHR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home v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isits, Dental Department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, and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the</w:t>
      </w:r>
      <w:r w:rsidR="001E245C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1-800-NO-BUTTS California Smokers Helpline. The linkages do not stop there. To support their community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,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8E7357">
        <w:rPr>
          <w:rFonts w:ascii="Times New Roman" w:eastAsia="Times New Roman" w:hAnsi="Times New Roman" w:cs="Times New Roman"/>
          <w:kern w:val="36"/>
          <w:sz w:val="23"/>
          <w:szCs w:val="23"/>
        </w:rPr>
        <w:t>GRTHP</w:t>
      </w:r>
      <w:r w:rsidR="008E7357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has also networked with Tehama County Drug &amp; Alcohol-Perinatal Program and </w:t>
      </w:r>
      <w:r w:rsidR="00B7245B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the County’s Tobacco Coalition.</w:t>
      </w:r>
      <w:r w:rsidR="008F179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B7245B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By leveraging resources and identifying expertise in the communit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y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,</w:t>
      </w:r>
      <w:r w:rsidR="00B7245B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8E7357">
        <w:rPr>
          <w:rFonts w:ascii="Times New Roman" w:eastAsia="Times New Roman" w:hAnsi="Times New Roman" w:cs="Times New Roman"/>
          <w:kern w:val="36"/>
          <w:sz w:val="23"/>
          <w:szCs w:val="23"/>
        </w:rPr>
        <w:t>GRTHP</w:t>
      </w:r>
      <w:r w:rsidR="008E7357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B7245B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sets an example of holistic health</w:t>
      </w:r>
      <w:r w:rsidR="0095533B">
        <w:rPr>
          <w:rFonts w:ascii="Times New Roman" w:eastAsia="Times New Roman" w:hAnsi="Times New Roman" w:cs="Times New Roman"/>
          <w:kern w:val="36"/>
          <w:sz w:val="23"/>
          <w:szCs w:val="23"/>
        </w:rPr>
        <w:t>care</w:t>
      </w:r>
      <w:r w:rsidR="00B7245B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for other 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Tribal</w:t>
      </w:r>
      <w:r w:rsidR="00320A67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c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linics.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Partnering with Magazine</w:t>
      </w:r>
      <w:r w:rsidR="00B7245B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s like “Enjoy-Northern California Living” show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s</w:t>
      </w:r>
      <w:r w:rsidR="00B7245B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the resourcefulness of </w:t>
      </w:r>
      <w:r w:rsidR="008E7357">
        <w:rPr>
          <w:rFonts w:ascii="Times New Roman" w:eastAsia="Times New Roman" w:hAnsi="Times New Roman" w:cs="Times New Roman"/>
          <w:kern w:val="36"/>
          <w:sz w:val="23"/>
          <w:szCs w:val="23"/>
        </w:rPr>
        <w:t>GRTHP</w:t>
      </w:r>
      <w:r w:rsidR="00B7245B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. </w:t>
      </w:r>
      <w:r w:rsidR="000B0797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Their June 2017 edition educated the community about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the </w:t>
      </w:r>
      <w:r w:rsidR="006A5068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>harms of commercial tobacco as well as listing many</w:t>
      </w:r>
      <w:r w:rsidR="000B0797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prevention and cessation</w:t>
      </w:r>
      <w:r w:rsidR="00465B5A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resources. Healthcare access, quality, and competency increases when 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Tribal </w:t>
      </w:r>
      <w:r w:rsidR="00465B5A">
        <w:rPr>
          <w:rFonts w:ascii="Times New Roman" w:eastAsia="Times New Roman" w:hAnsi="Times New Roman" w:cs="Times New Roman"/>
          <w:kern w:val="36"/>
          <w:sz w:val="23"/>
          <w:szCs w:val="23"/>
        </w:rPr>
        <w:t>clinics respond to the concerns and needs of their community by partnering with appropriate organizations</w:t>
      </w:r>
      <w:r w:rsidR="00995BAD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. </w:t>
      </w:r>
    </w:p>
    <w:p w14:paraId="78129CD9" w14:textId="77777777" w:rsidR="007B0CF6" w:rsidRPr="008A382D" w:rsidRDefault="00DE5DC8" w:rsidP="009C4704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3"/>
          <w:szCs w:val="23"/>
        </w:rPr>
      </w:pPr>
      <w:r>
        <w:rPr>
          <w:rFonts w:ascii="Times New Roman" w:eastAsia="Times New Roman" w:hAnsi="Times New Roman" w:cs="Times New Roman"/>
          <w:kern w:val="36"/>
          <w:sz w:val="23"/>
          <w:szCs w:val="23"/>
        </w:rPr>
        <w:lastRenderedPageBreak/>
        <w:t>Thinking</w:t>
      </w:r>
      <w:r w:rsidR="009C4704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outside of the box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and </w:t>
      </w:r>
      <w:r w:rsidR="0095533B">
        <w:rPr>
          <w:rFonts w:ascii="Times New Roman" w:eastAsia="Times New Roman" w:hAnsi="Times New Roman" w:cs="Times New Roman"/>
          <w:kern w:val="36"/>
          <w:sz w:val="23"/>
          <w:szCs w:val="23"/>
        </w:rPr>
        <w:t>working with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nonconventional partners demonstrates </w:t>
      </w:r>
      <w:r w:rsidR="008E7357">
        <w:rPr>
          <w:rFonts w:ascii="Times New Roman" w:eastAsia="Times New Roman" w:hAnsi="Times New Roman" w:cs="Times New Roman"/>
          <w:kern w:val="36"/>
          <w:sz w:val="23"/>
          <w:szCs w:val="23"/>
        </w:rPr>
        <w:t>GRTHP</w:t>
      </w:r>
      <w:r w:rsidR="0095533B">
        <w:rPr>
          <w:rFonts w:ascii="Times New Roman" w:eastAsia="Times New Roman" w:hAnsi="Times New Roman" w:cs="Times New Roman"/>
          <w:kern w:val="36"/>
          <w:sz w:val="23"/>
          <w:szCs w:val="23"/>
        </w:rPr>
        <w:t>’s</w:t>
      </w:r>
      <w:r w:rsidR="008E7357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</w:t>
      </w:r>
      <w:r w:rsidR="003331A2" w:rsidRPr="00A54C9F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ability to adapt </w:t>
      </w:r>
      <w:r w:rsidR="0095533B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and provide services that address the needs of their community. </w:t>
      </w:r>
      <w:r w:rsidR="00A7314A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Every community </w:t>
      </w:r>
      <w:r w:rsidR="002D65E6">
        <w:rPr>
          <w:rFonts w:ascii="Times New Roman" w:eastAsia="Times New Roman" w:hAnsi="Times New Roman" w:cs="Times New Roman"/>
          <w:kern w:val="36"/>
          <w:sz w:val="23"/>
          <w:szCs w:val="23"/>
        </w:rPr>
        <w:t>has</w:t>
      </w:r>
      <w:r w:rsidR="00A7314A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unique</w:t>
      </w:r>
      <w:r w:rsidR="002D65E6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needs, </w:t>
      </w:r>
      <w:r w:rsidR="00A7314A">
        <w:rPr>
          <w:rFonts w:ascii="Times New Roman" w:eastAsia="Times New Roman" w:hAnsi="Times New Roman" w:cs="Times New Roman"/>
          <w:kern w:val="36"/>
          <w:sz w:val="23"/>
          <w:szCs w:val="23"/>
        </w:rPr>
        <w:t>strengths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,</w:t>
      </w:r>
      <w:r w:rsidR="00A7314A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and weaknesses. </w:t>
      </w:r>
      <w:r w:rsidR="00320A67">
        <w:rPr>
          <w:rFonts w:ascii="Times New Roman" w:eastAsia="Times New Roman" w:hAnsi="Times New Roman" w:cs="Times New Roman"/>
          <w:kern w:val="36"/>
          <w:sz w:val="23"/>
          <w:szCs w:val="23"/>
        </w:rPr>
        <w:t>Communities</w:t>
      </w:r>
      <w:r w:rsidR="002D65E6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can </w:t>
      </w:r>
      <w:r w:rsidR="00A7314A">
        <w:rPr>
          <w:rFonts w:ascii="Times New Roman" w:eastAsia="Times New Roman" w:hAnsi="Times New Roman" w:cs="Times New Roman"/>
          <w:kern w:val="36"/>
          <w:sz w:val="23"/>
          <w:szCs w:val="23"/>
        </w:rPr>
        <w:t>identif</w:t>
      </w:r>
      <w:r w:rsidR="002D65E6">
        <w:rPr>
          <w:rFonts w:ascii="Times New Roman" w:eastAsia="Times New Roman" w:hAnsi="Times New Roman" w:cs="Times New Roman"/>
          <w:kern w:val="36"/>
          <w:sz w:val="23"/>
          <w:szCs w:val="23"/>
        </w:rPr>
        <w:t>y</w:t>
      </w:r>
      <w:r w:rsidR="00A7314A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these weaknesses</w:t>
      </w:r>
      <w:r w:rsidR="002D65E6">
        <w:rPr>
          <w:rFonts w:ascii="Times New Roman" w:eastAsia="Times New Roman" w:hAnsi="Times New Roman" w:cs="Times New Roman"/>
          <w:kern w:val="36"/>
          <w:sz w:val="23"/>
          <w:szCs w:val="23"/>
        </w:rPr>
        <w:t xml:space="preserve"> and develop linkages that can fill the gaps in healthcare delivery. Establishing and maintaining these linkages leads to better health outcomes for everyone in the community. </w:t>
      </w:r>
    </w:p>
    <w:p w14:paraId="7D182AE3" w14:textId="77777777" w:rsidR="00A7314A" w:rsidRDefault="00A7314A" w:rsidP="009C4704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3"/>
          <w:szCs w:val="23"/>
        </w:rPr>
      </w:pPr>
    </w:p>
    <w:p w14:paraId="233242A0" w14:textId="77777777" w:rsidR="00A7314A" w:rsidRPr="00995BAD" w:rsidRDefault="00A7314A" w:rsidP="009C4704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A32A6DA" w14:textId="77777777" w:rsidR="00A54C9F" w:rsidRPr="00A54C9F" w:rsidRDefault="00A54C9F" w:rsidP="009C4704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3"/>
          <w:szCs w:val="23"/>
        </w:rPr>
      </w:pPr>
    </w:p>
    <w:sectPr w:rsidR="00A54C9F" w:rsidRPr="00A54C9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0A46" w14:textId="77777777" w:rsidR="002D7663" w:rsidRDefault="002D7663" w:rsidP="006A5068">
      <w:pPr>
        <w:spacing w:after="0" w:line="240" w:lineRule="auto"/>
      </w:pPr>
      <w:r>
        <w:separator/>
      </w:r>
    </w:p>
  </w:endnote>
  <w:endnote w:type="continuationSeparator" w:id="0">
    <w:p w14:paraId="4E411A1E" w14:textId="77777777" w:rsidR="002D7663" w:rsidRDefault="002D7663" w:rsidP="006A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2D6F" w14:textId="77777777" w:rsidR="00F61EBB" w:rsidRDefault="00F61EBB">
    <w:pPr>
      <w:pStyle w:val="Footer"/>
    </w:pPr>
    <w:r>
      <w:rPr>
        <w:noProof/>
      </w:rPr>
      <w:drawing>
        <wp:anchor distT="36576" distB="36576" distL="36576" distR="36576" simplePos="0" relativeHeight="251663360" behindDoc="0" locked="0" layoutInCell="1" allowOverlap="1" wp14:anchorId="7D4B5970" wp14:editId="4EB30CCE">
          <wp:simplePos x="0" y="0"/>
          <wp:positionH relativeFrom="rightMargin">
            <wp:posOffset>0</wp:posOffset>
          </wp:positionH>
          <wp:positionV relativeFrom="page">
            <wp:posOffset>9205899</wp:posOffset>
          </wp:positionV>
          <wp:extent cx="562610" cy="748030"/>
          <wp:effectExtent l="0" t="0" r="8890" b="0"/>
          <wp:wrapNone/>
          <wp:docPr id="4" name="Picture 4" descr="C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FF2310" wp14:editId="67F0E9B0">
          <wp:simplePos x="0" y="0"/>
          <wp:positionH relativeFrom="leftMargin">
            <wp:posOffset>133350</wp:posOffset>
          </wp:positionH>
          <wp:positionV relativeFrom="page">
            <wp:posOffset>9154436</wp:posOffset>
          </wp:positionV>
          <wp:extent cx="772160" cy="772160"/>
          <wp:effectExtent l="0" t="0" r="8890" b="8890"/>
          <wp:wrapTight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ight>
          <wp:docPr id="3" name="Picture 3" descr="http://cri-share-01/sites/Intranet/Logos/Color%20Logo%20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ri-share-01/sites/Intranet/Logos/Color%20Logo%20(jpg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041ECB7" wp14:editId="1C22F1EA">
          <wp:simplePos x="0" y="0"/>
          <wp:positionH relativeFrom="margin">
            <wp:align>center</wp:align>
          </wp:positionH>
          <wp:positionV relativeFrom="paragraph">
            <wp:posOffset>-190583</wp:posOffset>
          </wp:positionV>
          <wp:extent cx="2524760" cy="720090"/>
          <wp:effectExtent l="0" t="0" r="8890" b="3810"/>
          <wp:wrapThrough wrapText="bothSides">
            <wp:wrapPolygon edited="0">
              <wp:start x="0" y="0"/>
              <wp:lineTo x="0" y="21143"/>
              <wp:lineTo x="21513" y="21143"/>
              <wp:lineTo x="215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CD04" w14:textId="77777777" w:rsidR="002D7663" w:rsidRDefault="002D7663" w:rsidP="006A5068">
      <w:pPr>
        <w:spacing w:after="0" w:line="240" w:lineRule="auto"/>
      </w:pPr>
      <w:r>
        <w:separator/>
      </w:r>
    </w:p>
  </w:footnote>
  <w:footnote w:type="continuationSeparator" w:id="0">
    <w:p w14:paraId="2FC96CBB" w14:textId="77777777" w:rsidR="002D7663" w:rsidRDefault="002D7663" w:rsidP="006A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DA"/>
    <w:rsid w:val="00094E33"/>
    <w:rsid w:val="000B0797"/>
    <w:rsid w:val="00104BEE"/>
    <w:rsid w:val="001C5F4E"/>
    <w:rsid w:val="001E245C"/>
    <w:rsid w:val="002D65E6"/>
    <w:rsid w:val="002D7663"/>
    <w:rsid w:val="00310DE3"/>
    <w:rsid w:val="00320A67"/>
    <w:rsid w:val="003331A2"/>
    <w:rsid w:val="00465B5A"/>
    <w:rsid w:val="004A39FA"/>
    <w:rsid w:val="00510F1E"/>
    <w:rsid w:val="00520A49"/>
    <w:rsid w:val="00616BB5"/>
    <w:rsid w:val="00630CC5"/>
    <w:rsid w:val="006330DA"/>
    <w:rsid w:val="006A5068"/>
    <w:rsid w:val="006C1DF8"/>
    <w:rsid w:val="006C7815"/>
    <w:rsid w:val="007B0CF6"/>
    <w:rsid w:val="008A382D"/>
    <w:rsid w:val="008B1B2D"/>
    <w:rsid w:val="008E7357"/>
    <w:rsid w:val="008F1792"/>
    <w:rsid w:val="0095533B"/>
    <w:rsid w:val="009831BC"/>
    <w:rsid w:val="00995BAD"/>
    <w:rsid w:val="009C4704"/>
    <w:rsid w:val="00A324DE"/>
    <w:rsid w:val="00A54C9F"/>
    <w:rsid w:val="00A7314A"/>
    <w:rsid w:val="00B7245B"/>
    <w:rsid w:val="00C911AA"/>
    <w:rsid w:val="00DE5DC8"/>
    <w:rsid w:val="00E44FAB"/>
    <w:rsid w:val="00F225B1"/>
    <w:rsid w:val="00F61EBB"/>
    <w:rsid w:val="00FA0B73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D446"/>
  <w15:chartTrackingRefBased/>
  <w15:docId w15:val="{3C0F0CC4-9464-4E35-89AD-0188C15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0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68"/>
  </w:style>
  <w:style w:type="paragraph" w:styleId="Footer">
    <w:name w:val="footer"/>
    <w:basedOn w:val="Normal"/>
    <w:link w:val="FooterChar"/>
    <w:uiPriority w:val="99"/>
    <w:unhideWhenUsed/>
    <w:rsid w:val="006A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68"/>
  </w:style>
  <w:style w:type="paragraph" w:styleId="NoSpacing">
    <w:name w:val="No Spacing"/>
    <w:uiPriority w:val="1"/>
    <w:qFormat/>
    <w:rsid w:val="009C470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C4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B6E0AE-2709-4ADA-8C6E-DC91D3F43A69}" type="doc">
      <dgm:prSet loTypeId="urn:microsoft.com/office/officeart/2005/8/layout/venn1" loCatId="relationship" qsTypeId="urn:microsoft.com/office/officeart/2005/8/quickstyle/3d3" qsCatId="3D" csTypeId="urn:microsoft.com/office/officeart/2005/8/colors/accent1_2" csCatId="accent1" phldr="1"/>
      <dgm:spPr/>
    </dgm:pt>
    <dgm:pt modelId="{76DB0F9C-213C-481B-AC09-5F6A69EDA293}">
      <dgm:prSet phldrT="[Text]"/>
      <dgm:spPr>
        <a:solidFill>
          <a:schemeClr val="accent1">
            <a:alpha val="50000"/>
          </a:schemeClr>
        </a:solidFill>
      </dgm:spPr>
      <dgm:t>
        <a:bodyPr/>
        <a:lstStyle/>
        <a:p>
          <a:r>
            <a:rPr lang="en-US"/>
            <a:t>Community Resources  - Organizations</a:t>
          </a:r>
        </a:p>
      </dgm:t>
    </dgm:pt>
    <dgm:pt modelId="{CA293B3F-59F5-4488-B695-3FE4FD2240FB}" type="parTrans" cxnId="{84BFC304-7FEB-4AAC-9C6A-04CA9ED639FB}">
      <dgm:prSet/>
      <dgm:spPr/>
      <dgm:t>
        <a:bodyPr/>
        <a:lstStyle/>
        <a:p>
          <a:endParaRPr lang="en-US"/>
        </a:p>
      </dgm:t>
    </dgm:pt>
    <dgm:pt modelId="{D3CEDF77-DFDF-401E-A7B8-E5BC7B20357C}" type="sibTrans" cxnId="{84BFC304-7FEB-4AAC-9C6A-04CA9ED639FB}">
      <dgm:prSet/>
      <dgm:spPr/>
      <dgm:t>
        <a:bodyPr/>
        <a:lstStyle/>
        <a:p>
          <a:endParaRPr lang="en-US"/>
        </a:p>
      </dgm:t>
    </dgm:pt>
    <dgm:pt modelId="{B371F31B-E4C4-4E0A-B4F6-E87207E8682E}">
      <dgm:prSet phldrT="[Text]"/>
      <dgm:spPr>
        <a:solidFill>
          <a:srgbClr val="FFFF99">
            <a:alpha val="50000"/>
          </a:srgbClr>
        </a:solidFill>
      </dgm:spPr>
      <dgm:t>
        <a:bodyPr/>
        <a:lstStyle/>
        <a:p>
          <a:r>
            <a:rPr lang="en-US"/>
            <a:t>Patient - Community Member</a:t>
          </a:r>
        </a:p>
      </dgm:t>
    </dgm:pt>
    <dgm:pt modelId="{E4768162-3450-40FF-B534-211F2728432C}" type="parTrans" cxnId="{E5933338-AE2F-4C58-A72E-245EBB1765EF}">
      <dgm:prSet/>
      <dgm:spPr/>
      <dgm:t>
        <a:bodyPr/>
        <a:lstStyle/>
        <a:p>
          <a:endParaRPr lang="en-US"/>
        </a:p>
      </dgm:t>
    </dgm:pt>
    <dgm:pt modelId="{0E8CA69C-DE44-430B-B16D-B5DD5526FCE8}" type="sibTrans" cxnId="{E5933338-AE2F-4C58-A72E-245EBB1765EF}">
      <dgm:prSet/>
      <dgm:spPr/>
      <dgm:t>
        <a:bodyPr/>
        <a:lstStyle/>
        <a:p>
          <a:endParaRPr lang="en-US"/>
        </a:p>
      </dgm:t>
    </dgm:pt>
    <dgm:pt modelId="{9EE30D99-2980-472D-8E38-0D77EC485B5F}">
      <dgm:prSet phldrT="[Text]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US"/>
            <a:t>Clinic - Health Care Provider</a:t>
          </a:r>
        </a:p>
      </dgm:t>
    </dgm:pt>
    <dgm:pt modelId="{F626E889-449A-44CF-A878-42017F7EBC96}" type="parTrans" cxnId="{DF8FD0F8-9564-46ED-ACEF-8FBF44B30991}">
      <dgm:prSet/>
      <dgm:spPr/>
      <dgm:t>
        <a:bodyPr/>
        <a:lstStyle/>
        <a:p>
          <a:endParaRPr lang="en-US"/>
        </a:p>
      </dgm:t>
    </dgm:pt>
    <dgm:pt modelId="{8850B054-63D2-4910-AA68-FC8C3E6B03C1}" type="sibTrans" cxnId="{DF8FD0F8-9564-46ED-ACEF-8FBF44B30991}">
      <dgm:prSet/>
      <dgm:spPr/>
      <dgm:t>
        <a:bodyPr/>
        <a:lstStyle/>
        <a:p>
          <a:endParaRPr lang="en-US"/>
        </a:p>
      </dgm:t>
    </dgm:pt>
    <dgm:pt modelId="{E22823B2-4305-4184-B87E-08212435513E}" type="pres">
      <dgm:prSet presAssocID="{AAB6E0AE-2709-4ADA-8C6E-DC91D3F43A69}" presName="compositeShape" presStyleCnt="0">
        <dgm:presLayoutVars>
          <dgm:chMax val="7"/>
          <dgm:dir/>
          <dgm:resizeHandles val="exact"/>
        </dgm:presLayoutVars>
      </dgm:prSet>
      <dgm:spPr/>
    </dgm:pt>
    <dgm:pt modelId="{0D3F1EB6-DD15-4732-8FA4-9A2A1AC66B4B}" type="pres">
      <dgm:prSet presAssocID="{76DB0F9C-213C-481B-AC09-5F6A69EDA293}" presName="circ1" presStyleLbl="vennNode1" presStyleIdx="0" presStyleCnt="3"/>
      <dgm:spPr/>
      <dgm:t>
        <a:bodyPr/>
        <a:lstStyle/>
        <a:p>
          <a:endParaRPr lang="en-US"/>
        </a:p>
      </dgm:t>
    </dgm:pt>
    <dgm:pt modelId="{BF646786-22E2-4031-9225-4842663BFA56}" type="pres">
      <dgm:prSet presAssocID="{76DB0F9C-213C-481B-AC09-5F6A69EDA29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C5C49A-EDA6-435E-AB59-81A2427514D8}" type="pres">
      <dgm:prSet presAssocID="{B371F31B-E4C4-4E0A-B4F6-E87207E8682E}" presName="circ2" presStyleLbl="vennNode1" presStyleIdx="1" presStyleCnt="3"/>
      <dgm:spPr/>
      <dgm:t>
        <a:bodyPr/>
        <a:lstStyle/>
        <a:p>
          <a:endParaRPr lang="en-US"/>
        </a:p>
      </dgm:t>
    </dgm:pt>
    <dgm:pt modelId="{B4F08B77-7A39-48BF-9A96-699D750C0BEE}" type="pres">
      <dgm:prSet presAssocID="{B371F31B-E4C4-4E0A-B4F6-E87207E868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866E93-FAB0-4FC5-A208-7D56548206EE}" type="pres">
      <dgm:prSet presAssocID="{9EE30D99-2980-472D-8E38-0D77EC485B5F}" presName="circ3" presStyleLbl="vennNode1" presStyleIdx="2" presStyleCnt="3"/>
      <dgm:spPr/>
      <dgm:t>
        <a:bodyPr/>
        <a:lstStyle/>
        <a:p>
          <a:endParaRPr lang="en-US"/>
        </a:p>
      </dgm:t>
    </dgm:pt>
    <dgm:pt modelId="{45D0A7E9-92EA-449D-90B0-9FD8C15C61AD}" type="pres">
      <dgm:prSet presAssocID="{9EE30D99-2980-472D-8E38-0D77EC485B5F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ED0767-69F9-3643-AEE2-791CFB2E94D6}" type="presOf" srcId="{B371F31B-E4C4-4E0A-B4F6-E87207E8682E}" destId="{B4F08B77-7A39-48BF-9A96-699D750C0BEE}" srcOrd="1" destOrd="0" presId="urn:microsoft.com/office/officeart/2005/8/layout/venn1"/>
    <dgm:cxn modelId="{CF89BECD-6323-DE47-BDF6-38088D3F885D}" type="presOf" srcId="{B371F31B-E4C4-4E0A-B4F6-E87207E8682E}" destId="{DEC5C49A-EDA6-435E-AB59-81A2427514D8}" srcOrd="0" destOrd="0" presId="urn:microsoft.com/office/officeart/2005/8/layout/venn1"/>
    <dgm:cxn modelId="{84BFC304-7FEB-4AAC-9C6A-04CA9ED639FB}" srcId="{AAB6E0AE-2709-4ADA-8C6E-DC91D3F43A69}" destId="{76DB0F9C-213C-481B-AC09-5F6A69EDA293}" srcOrd="0" destOrd="0" parTransId="{CA293B3F-59F5-4488-B695-3FE4FD2240FB}" sibTransId="{D3CEDF77-DFDF-401E-A7B8-E5BC7B20357C}"/>
    <dgm:cxn modelId="{B12B482D-7861-3B46-8E0B-09C460FC288A}" type="presOf" srcId="{9EE30D99-2980-472D-8E38-0D77EC485B5F}" destId="{CC866E93-FAB0-4FC5-A208-7D56548206EE}" srcOrd="0" destOrd="0" presId="urn:microsoft.com/office/officeart/2005/8/layout/venn1"/>
    <dgm:cxn modelId="{AFDC1A67-FAB8-5446-9B8F-19C951403E0E}" type="presOf" srcId="{76DB0F9C-213C-481B-AC09-5F6A69EDA293}" destId="{0D3F1EB6-DD15-4732-8FA4-9A2A1AC66B4B}" srcOrd="0" destOrd="0" presId="urn:microsoft.com/office/officeart/2005/8/layout/venn1"/>
    <dgm:cxn modelId="{F8D12C1E-4090-3445-AFD0-006DD8B60710}" type="presOf" srcId="{9EE30D99-2980-472D-8E38-0D77EC485B5F}" destId="{45D0A7E9-92EA-449D-90B0-9FD8C15C61AD}" srcOrd="1" destOrd="0" presId="urn:microsoft.com/office/officeart/2005/8/layout/venn1"/>
    <dgm:cxn modelId="{A1E0DE6F-F109-6942-9D17-4B968E85FC48}" type="presOf" srcId="{76DB0F9C-213C-481B-AC09-5F6A69EDA293}" destId="{BF646786-22E2-4031-9225-4842663BFA56}" srcOrd="1" destOrd="0" presId="urn:microsoft.com/office/officeart/2005/8/layout/venn1"/>
    <dgm:cxn modelId="{DF8FD0F8-9564-46ED-ACEF-8FBF44B30991}" srcId="{AAB6E0AE-2709-4ADA-8C6E-DC91D3F43A69}" destId="{9EE30D99-2980-472D-8E38-0D77EC485B5F}" srcOrd="2" destOrd="0" parTransId="{F626E889-449A-44CF-A878-42017F7EBC96}" sibTransId="{8850B054-63D2-4910-AA68-FC8C3E6B03C1}"/>
    <dgm:cxn modelId="{E5933338-AE2F-4C58-A72E-245EBB1765EF}" srcId="{AAB6E0AE-2709-4ADA-8C6E-DC91D3F43A69}" destId="{B371F31B-E4C4-4E0A-B4F6-E87207E8682E}" srcOrd="1" destOrd="0" parTransId="{E4768162-3450-40FF-B534-211F2728432C}" sibTransId="{0E8CA69C-DE44-430B-B16D-B5DD5526FCE8}"/>
    <dgm:cxn modelId="{471E0B1E-753A-2745-BAA6-F3B900F7CA9A}" type="presOf" srcId="{AAB6E0AE-2709-4ADA-8C6E-DC91D3F43A69}" destId="{E22823B2-4305-4184-B87E-08212435513E}" srcOrd="0" destOrd="0" presId="urn:microsoft.com/office/officeart/2005/8/layout/venn1"/>
    <dgm:cxn modelId="{8E29B065-5CFD-DF48-A316-698D3EE6D8CF}" type="presParOf" srcId="{E22823B2-4305-4184-B87E-08212435513E}" destId="{0D3F1EB6-DD15-4732-8FA4-9A2A1AC66B4B}" srcOrd="0" destOrd="0" presId="urn:microsoft.com/office/officeart/2005/8/layout/venn1"/>
    <dgm:cxn modelId="{4AD40A60-1E29-924B-A1CF-0614E9974254}" type="presParOf" srcId="{E22823B2-4305-4184-B87E-08212435513E}" destId="{BF646786-22E2-4031-9225-4842663BFA56}" srcOrd="1" destOrd="0" presId="urn:microsoft.com/office/officeart/2005/8/layout/venn1"/>
    <dgm:cxn modelId="{8A65B756-CDB0-CC48-AE1F-F7C66E73B249}" type="presParOf" srcId="{E22823B2-4305-4184-B87E-08212435513E}" destId="{DEC5C49A-EDA6-435E-AB59-81A2427514D8}" srcOrd="2" destOrd="0" presId="urn:microsoft.com/office/officeart/2005/8/layout/venn1"/>
    <dgm:cxn modelId="{E42E455C-C51D-4D47-BD7B-B8A010B90289}" type="presParOf" srcId="{E22823B2-4305-4184-B87E-08212435513E}" destId="{B4F08B77-7A39-48BF-9A96-699D750C0BEE}" srcOrd="3" destOrd="0" presId="urn:microsoft.com/office/officeart/2005/8/layout/venn1"/>
    <dgm:cxn modelId="{B518B2EE-307F-994F-B06A-503B562A36DB}" type="presParOf" srcId="{E22823B2-4305-4184-B87E-08212435513E}" destId="{CC866E93-FAB0-4FC5-A208-7D56548206EE}" srcOrd="4" destOrd="0" presId="urn:microsoft.com/office/officeart/2005/8/layout/venn1"/>
    <dgm:cxn modelId="{91E4D790-CC95-6F4F-B01F-96E98057DD1E}" type="presParOf" srcId="{E22823B2-4305-4184-B87E-08212435513E}" destId="{45D0A7E9-92EA-449D-90B0-9FD8C15C61A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F1EB6-DD15-4732-8FA4-9A2A1AC66B4B}">
      <dsp:nvSpPr>
        <dsp:cNvPr id="0" name=""/>
        <dsp:cNvSpPr/>
      </dsp:nvSpPr>
      <dsp:spPr>
        <a:xfrm>
          <a:off x="427604" y="72834"/>
          <a:ext cx="1185046" cy="1185046"/>
        </a:xfrm>
        <a:prstGeom prst="ellipse">
          <a:avLst/>
        </a:prstGeom>
        <a:solidFill>
          <a:schemeClr val="accent1">
            <a:alpha val="5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Community Resources  - Organizations</a:t>
          </a:r>
        </a:p>
      </dsp:txBody>
      <dsp:txXfrm>
        <a:off x="585610" y="280217"/>
        <a:ext cx="869034" cy="533270"/>
      </dsp:txXfrm>
    </dsp:sp>
    <dsp:sp modelId="{DEC5C49A-EDA6-435E-AB59-81A2427514D8}">
      <dsp:nvSpPr>
        <dsp:cNvPr id="0" name=""/>
        <dsp:cNvSpPr/>
      </dsp:nvSpPr>
      <dsp:spPr>
        <a:xfrm>
          <a:off x="855208" y="813488"/>
          <a:ext cx="1185046" cy="1185046"/>
        </a:xfrm>
        <a:prstGeom prst="ellipse">
          <a:avLst/>
        </a:prstGeom>
        <a:solidFill>
          <a:srgbClr val="FFFF99">
            <a:alpha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Patient - Community Member</a:t>
          </a:r>
        </a:p>
      </dsp:txBody>
      <dsp:txXfrm>
        <a:off x="1217635" y="1119625"/>
        <a:ext cx="711027" cy="651775"/>
      </dsp:txXfrm>
    </dsp:sp>
    <dsp:sp modelId="{CC866E93-FAB0-4FC5-A208-7D56548206EE}">
      <dsp:nvSpPr>
        <dsp:cNvPr id="0" name=""/>
        <dsp:cNvSpPr/>
      </dsp:nvSpPr>
      <dsp:spPr>
        <a:xfrm>
          <a:off x="0" y="813488"/>
          <a:ext cx="1185046" cy="1185046"/>
        </a:xfrm>
        <a:prstGeom prst="ellipse">
          <a:avLst/>
        </a:prstGeom>
        <a:solidFill>
          <a:schemeClr val="accent2">
            <a:alpha val="5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Clinic - Health Care Provider</a:t>
          </a:r>
        </a:p>
      </dsp:txBody>
      <dsp:txXfrm>
        <a:off x="111591" y="1119625"/>
        <a:ext cx="711027" cy="651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 Inc.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Arif, Sohab (CRIHB)</dc:creator>
  <cp:keywords/>
  <dc:description/>
  <cp:lastModifiedBy>Microsoft Office User</cp:lastModifiedBy>
  <cp:revision>2</cp:revision>
  <cp:lastPrinted>2017-10-04T22:18:00Z</cp:lastPrinted>
  <dcterms:created xsi:type="dcterms:W3CDTF">2017-11-15T13:59:00Z</dcterms:created>
  <dcterms:modified xsi:type="dcterms:W3CDTF">2017-11-15T13:59:00Z</dcterms:modified>
</cp:coreProperties>
</file>